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E10A3">
        <w:tc>
          <w:tcPr>
            <w:tcW w:w="4678" w:type="dxa"/>
          </w:tcPr>
          <w:p w:rsidR="002E10A3" w:rsidRDefault="006A1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A3" w:rsidRDefault="006A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2E10A3" w:rsidRDefault="006A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при осуществлении регионального государственного контроля (надзора) в сфере перевозок пассажиров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багажа легковым такси в 2024 году</w:t>
      </w:r>
      <w:bookmarkStart w:id="0" w:name="_GoBack"/>
      <w:bookmarkEnd w:id="0"/>
    </w:p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A3" w:rsidRDefault="006A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15 Положения о региональном государственном контроле (надзоре)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перевозок пассажиров и багажа легковым такси, утвержденного постановлением Правительства Архангельской области от 29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г. № 532-пп (далее – Положение) государственным казенным учреждением Архангельской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«Дорожное агентство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Учреждение) подготовлен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правоприменительной практике при осуществлении Учреждением регионального государственного контроля (надзора) в сфере перевозок пассажиров и багажа легковым такси.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возложенными полномочиями с 1 сентября 2023 г. Учреждение осуществляет региональный государственный контроль (надзор)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перевозки пассажиров и багажа легковым такси (далее – региональный государственный контроль)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осуществляется Учреждением в соответствии с Федеральным законом № 248-ФЗ, Положением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2022 г. № 580-ФЗ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организации перевозок пассажиров и багажа легковым такси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№ 580-ФЗ).</w:t>
      </w:r>
      <w:proofErr w:type="gramEnd"/>
    </w:p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0A3" w:rsidRDefault="006A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Аналитическое обобщение обязательных требований, составляющих предмет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государственного контроля</w:t>
      </w:r>
    </w:p>
    <w:p w:rsidR="002E10A3" w:rsidRDefault="002E1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0A3" w:rsidRDefault="006A13CC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является:</w:t>
      </w:r>
    </w:p>
    <w:p w:rsidR="002E10A3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соблюдение 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№ 580-ФЗ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нормативными правовыми актами Архангельской области, принятыми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Федеральным законом 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обязательные требования)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2E10A3" w:rsidRPr="006A13CC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соблюдение службами заказа легкового такси обязательных требований, установленных статьями 14 и 19 Федерального закона 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580-ФЗ;</w:t>
      </w:r>
    </w:p>
    <w:p w:rsidR="002E10A3" w:rsidRPr="006A13CC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исполнение решений, принимаемых по результатам контрольных (надзорных) мероприятий.</w:t>
      </w:r>
    </w:p>
    <w:p w:rsidR="002E10A3" w:rsidRPr="006A13CC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объектам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относятся:</w:t>
      </w:r>
    </w:p>
    <w:p w:rsidR="002E10A3" w:rsidRPr="006A13CC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деятельность по перевозке пассажиров и багажа легковым такси;</w:t>
      </w:r>
    </w:p>
    <w:p w:rsidR="002E10A3" w:rsidRPr="006A13CC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деятельность служб заказа легковых такси;</w:t>
      </w:r>
    </w:p>
    <w:p w:rsidR="002E10A3" w:rsidRDefault="006A13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легковые такси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0A3" w:rsidRDefault="006A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 типичных нарушений обязательных требований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часто встречающиеся нарушения при перевозке пассажиров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и багажа легковым такси:</w:t>
      </w:r>
    </w:p>
    <w:p w:rsidR="002E10A3" w:rsidRPr="006A13CC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1) нарушение требований о проведении </w:t>
      </w:r>
      <w:proofErr w:type="spellStart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>предрейсовых</w:t>
      </w:r>
      <w:proofErr w:type="spellEnd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осмотров водителей транспортных средств, нарушение требований 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 проведении </w:t>
      </w:r>
      <w:proofErr w:type="spellStart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>предрейсового</w:t>
      </w:r>
      <w:proofErr w:type="spellEnd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технического состояния транспортных средств – 50 процентов от всех выявленных нарушений;</w:t>
      </w:r>
    </w:p>
    <w:p w:rsidR="002E10A3" w:rsidRPr="006A13CC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2) отсутствие на транспортном средстве, используемом для оказания услуг по перевозке пассажиров и багажа, </w:t>
      </w:r>
      <w:proofErr w:type="spellStart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>цветографической</w:t>
      </w:r>
      <w:proofErr w:type="spellEnd"/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схемы легкового такси и опознавательного фонаря на крыше указанного транспортного средства – 30 процентов от всех выявленных нарушений;</w:t>
      </w:r>
    </w:p>
    <w:p w:rsidR="002E10A3" w:rsidRPr="006A13CC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несоответствие или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отсутствие в салоне легкового такси информации, предусмотренной Правилами перевозок пассажиров и багажа автомобильным транспортом и городским наземным электрическим транспортом, утвержденными постановление Правительства Российской Федерации от 1 октября 2020 г. № 1586 –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процентов </w:t>
      </w:r>
      <w:r w:rsidRPr="006A13CC">
        <w:rPr>
          <w:rFonts w:ascii="Times New Roman" w:eastAsia="Times New Roman" w:hAnsi="Times New Roman" w:cs="Times New Roman"/>
          <w:bCs/>
          <w:sz w:val="28"/>
          <w:szCs w:val="28"/>
        </w:rPr>
        <w:t>от всех выявленных нарушений.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 случаев причинения вреда (ущерба) охраняемым законом ценностям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CC">
        <w:rPr>
          <w:rFonts w:ascii="Times New Roman" w:eastAsia="Times New Roman" w:hAnsi="Times New Roman" w:cs="Times New Roman"/>
          <w:sz w:val="28"/>
          <w:szCs w:val="28"/>
        </w:rPr>
        <w:t>Согласно информации, поступившей из Госавтоинспекции, в 2024 году на территории Архангельской области с участием водителей легковых такси зарегистрировано шесть дорожно-транспортных происшествий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3CC">
        <w:rPr>
          <w:rFonts w:ascii="Times New Roman" w:eastAsia="Times New Roman" w:hAnsi="Times New Roman" w:cs="Times New Roman"/>
          <w:sz w:val="28"/>
          <w:szCs w:val="28"/>
        </w:rPr>
        <w:t>(далее – ДТП), в результате которых девять человек получили 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вмы различной степени тяжести. </w:t>
      </w:r>
      <w:r w:rsidRPr="006A13CC">
        <w:rPr>
          <w:rFonts w:ascii="Times New Roman" w:eastAsia="Times New Roman" w:hAnsi="Times New Roman" w:cs="Times New Roman"/>
          <w:sz w:val="28"/>
          <w:szCs w:val="28"/>
        </w:rPr>
        <w:t xml:space="preserve">В четырех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ДТП </w:t>
      </w:r>
      <w:r w:rsidRPr="006A13CC">
        <w:rPr>
          <w:rFonts w:ascii="Times New Roman" w:eastAsia="Times New Roman" w:hAnsi="Times New Roman" w:cs="Times New Roman"/>
          <w:sz w:val="28"/>
          <w:szCs w:val="28"/>
        </w:rPr>
        <w:t>усматривается вина водителей легкового такси, в том числе в двух ДТП осуществлен наездах на пешеходов.</w:t>
      </w:r>
    </w:p>
    <w:p w:rsidR="002E10A3" w:rsidRDefault="006A13CC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Целевое (плановое) значение ключевого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в сфере перевозок пассажиров и багажа легковым такси не превышено, фактов гибели людей при оказании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перевозке пассажиров и багажа легковым такси не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Аналитическое обобщение вопросов организации и осуществления регионального государственного контроля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10 марта 2022 г. № 336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особенностях организации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осуществления государственного контроля (надзора), муниципального контроля» </w:t>
      </w:r>
      <w:proofErr w:type="spellStart"/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пплановые</w:t>
      </w:r>
      <w:proofErr w:type="spellEnd"/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(надзо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рные) мероприятия в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проводились. Оснований для проведения внеплановых проверок контролируемых лиц за отчетный период не возникало.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государственного контроля осуществляется постоянный рейд, в ходе которого в 2024 году специалистами Учреждения совместно с сотрудниками Госавтоинспекции проведено 492 проверочных мероприятия, выявлено 629 нарушений обязательных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числе:</w:t>
      </w:r>
    </w:p>
    <w:p w:rsidR="002E10A3" w:rsidRPr="006A13CC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фактов осуществления предпринимательской деятельности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специального разрешения при перевозке пассажиров и багажа легковым такси;</w:t>
      </w:r>
      <w:proofErr w:type="gramEnd"/>
    </w:p>
    <w:p w:rsidR="002E10A3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водителей, перевозивших пассажиров легковым такси, привлечены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административной ответственности за управление транспортным средством без права управления, 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пять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н, которые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к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D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Российской Федерации </w:t>
      </w:r>
      <w:r w:rsidRPr="006A1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на работу либо патента.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принимаются следующие меры: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Учреждением объявляются предостережения о недопустимости нарушения обязательных требований;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материалы по выявленным правонарушениям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уполномоченные органы для принятия мер по привлечению лиц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административной ответственности: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нарушениям, ответственность за которые предусмотрена статьями 9.13, 11.14.1 и 12.31.1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внутренних дел по нарушениям, ответственность за которые предусмотрена частью 2 статьи 14.1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и частью 1 статьи 18.10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166BE">
        <w:rPr>
          <w:rFonts w:ascii="Times New Roman" w:eastAsia="Times New Roman" w:hAnsi="Times New Roman" w:cs="Times New Roman"/>
          <w:sz w:val="28"/>
          <w:szCs w:val="28"/>
        </w:rPr>
        <w:t>Ространснадзор</w:t>
      </w:r>
      <w:proofErr w:type="spellEnd"/>
      <w:r w:rsidRPr="00D166BE">
        <w:rPr>
          <w:rFonts w:ascii="Times New Roman" w:eastAsia="Times New Roman" w:hAnsi="Times New Roman" w:cs="Times New Roman"/>
          <w:sz w:val="28"/>
          <w:szCs w:val="28"/>
        </w:rPr>
        <w:t xml:space="preserve"> по нарушениям, ответственность за которые предусмотрена частью 1 статьи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2E10A3" w:rsidRDefault="006A13C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 при наличии оснований принимаются меры по приостановлению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аннулированию разрешений на осуществление деятельности по перевозке пассажиров и багажа легковым такси.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Учреждением ведется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всех выявленных нарушений.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законодательства в области осуществления перевозок пассажиров и багажа легковым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отрудниками Учреждения проводятся следующие профилактические мероприятия:</w:t>
      </w:r>
    </w:p>
    <w:p w:rsidR="002E10A3" w:rsidRPr="00D166BE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E">
        <w:rPr>
          <w:rFonts w:ascii="Times New Roman" w:eastAsia="Times New Roman" w:hAnsi="Times New Roman" w:cs="Times New Roman"/>
          <w:sz w:val="28"/>
          <w:szCs w:val="28"/>
        </w:rPr>
        <w:t>1) информирование контролируемых лиц и иных заинтересованных лиц по вопросам соблюдения обязательных требований;</w:t>
      </w:r>
    </w:p>
    <w:p w:rsidR="002E10A3" w:rsidRPr="00D166BE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E">
        <w:rPr>
          <w:rFonts w:ascii="Times New Roman" w:eastAsia="Times New Roman" w:hAnsi="Times New Roman" w:cs="Times New Roman"/>
          <w:sz w:val="28"/>
          <w:szCs w:val="28"/>
        </w:rPr>
        <w:t>2) консультирование;</w:t>
      </w:r>
    </w:p>
    <w:p w:rsidR="002E10A3" w:rsidRPr="00D166BE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E">
        <w:rPr>
          <w:rFonts w:ascii="Times New Roman" w:eastAsia="Times New Roman" w:hAnsi="Times New Roman" w:cs="Times New Roman"/>
          <w:sz w:val="28"/>
          <w:szCs w:val="28"/>
        </w:rPr>
        <w:t>3) объявление предостережений о недопустимости нарушения обязательных требований;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BE">
        <w:rPr>
          <w:rFonts w:ascii="Times New Roman" w:eastAsia="Times New Roman" w:hAnsi="Times New Roman" w:cs="Times New Roman"/>
          <w:sz w:val="28"/>
          <w:szCs w:val="28"/>
        </w:rPr>
        <w:t>4) обобщение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правоприменительной практики.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каналы «обратной связи» с контролируемыми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части размещения контактной информации на официальном сайте Учреждения в информационно-телекоммуникационной сети Интернет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66BE">
        <w:rPr>
          <w:rFonts w:ascii="Times New Roman" w:eastAsia="Times New Roman" w:hAnsi="Times New Roman" w:cs="Times New Roman"/>
          <w:sz w:val="28"/>
          <w:szCs w:val="28"/>
        </w:rPr>
        <w:t>по адресу: https://ador.ru/taxi/.</w:t>
      </w:r>
    </w:p>
    <w:p w:rsidR="002E10A3" w:rsidRDefault="006A13CC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Сотрудниками Учреждения в 2024 году в региональный реестр легковых такси внесено 1042 </w:t>
      </w:r>
      <w:r w:rsidRPr="00D16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транспортных средства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оформлено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393 разрешения на осуществление деятельности по перевозке пассажиров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багажа легковым такси, в региональный реестр служб заказа легкового такси внесено 8 </w:t>
      </w:r>
      <w:r w:rsidRPr="00D16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 и индивидуальных предпринимателей.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связи с несоответствием обязательным требованиям из региональных реестров исключены 55 легковых такси и 49 перевозчиков </w:t>
      </w:r>
      <w:r w:rsidRPr="00D166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легковым такси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нарушений обязательных требований подконтрольным субъектам рекомендуется: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соблюдать требования законодательства в сфере перевозки пассажиров и багажа легковым такси;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проводить мониторинг информации, публикуемой на сайте Учреждения и министерства транспорта Архангельской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сайте Правительства Архангельской области в информационно-коммуникационной сети «Интернет»;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взаимодействовать с должностными лицами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возникновении вопросов, связанных с соблюдением обязательных требований;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придерживаться рекомендаций, указанных в руководстве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обязательных требований, выполнение которых оценивается при осуществлении регионального государственного надзора в сфере перевозки пассажиров и багажа легковым такси.</w:t>
      </w:r>
    </w:p>
    <w:p w:rsidR="002E10A3" w:rsidRDefault="006A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о внесении изменений в законодательство Российской Федерации о государственном контроле (надзоре) нет.</w:t>
      </w:r>
    </w:p>
    <w:p w:rsidR="002E10A3" w:rsidRDefault="002E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A3" w:rsidRDefault="006A13CC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sectPr w:rsidR="002E10A3" w:rsidSect="002E10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CC" w:rsidRDefault="006A13CC">
      <w:pPr>
        <w:spacing w:after="0" w:line="240" w:lineRule="auto"/>
      </w:pPr>
      <w:r>
        <w:separator/>
      </w:r>
    </w:p>
  </w:endnote>
  <w:endnote w:type="continuationSeparator" w:id="0">
    <w:p w:rsidR="006A13CC" w:rsidRDefault="006A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CC" w:rsidRDefault="006A13CC">
      <w:pPr>
        <w:spacing w:after="0" w:line="240" w:lineRule="auto"/>
      </w:pPr>
      <w:r>
        <w:separator/>
      </w:r>
    </w:p>
  </w:footnote>
  <w:footnote w:type="continuationSeparator" w:id="0">
    <w:p w:rsidR="006A13CC" w:rsidRDefault="006A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688725"/>
      <w:docPartObj>
        <w:docPartGallery w:val="Page Numbers (Top of Page)"/>
        <w:docPartUnique/>
      </w:docPartObj>
    </w:sdtPr>
    <w:sdtContent>
      <w:p w:rsidR="006A13CC" w:rsidRDefault="006A13C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10A3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6BE" w:rsidRPr="00D166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13CC" w:rsidRDefault="006A13C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A3"/>
    <w:rsid w:val="002E10A3"/>
    <w:rsid w:val="006A13CC"/>
    <w:rsid w:val="00D166BE"/>
    <w:rsid w:val="00F4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E10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E10A3"/>
    <w:rPr>
      <w:sz w:val="24"/>
      <w:szCs w:val="24"/>
    </w:rPr>
  </w:style>
  <w:style w:type="character" w:customStyle="1" w:styleId="QuoteChar">
    <w:name w:val="Quote Char"/>
    <w:link w:val="2"/>
    <w:uiPriority w:val="29"/>
    <w:rsid w:val="002E10A3"/>
    <w:rPr>
      <w:i/>
    </w:rPr>
  </w:style>
  <w:style w:type="character" w:customStyle="1" w:styleId="IntenseQuoteChar">
    <w:name w:val="Intense Quote Char"/>
    <w:link w:val="a5"/>
    <w:uiPriority w:val="30"/>
    <w:rsid w:val="002E10A3"/>
    <w:rPr>
      <w:i/>
    </w:rPr>
  </w:style>
  <w:style w:type="character" w:customStyle="1" w:styleId="FootnoteTextChar">
    <w:name w:val="Footnote Text Char"/>
    <w:link w:val="a6"/>
    <w:uiPriority w:val="99"/>
    <w:rsid w:val="002E10A3"/>
    <w:rPr>
      <w:sz w:val="18"/>
    </w:rPr>
  </w:style>
  <w:style w:type="character" w:customStyle="1" w:styleId="EndnoteTextChar">
    <w:name w:val="Endnote Text Char"/>
    <w:link w:val="a7"/>
    <w:uiPriority w:val="99"/>
    <w:rsid w:val="002E10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E10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E10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E10A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E10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E10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E10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E10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E10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E10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E10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E10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E10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E10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E10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10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E10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E10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E10A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E10A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2E10A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2E10A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2E10A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2E10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10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10A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2E10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2E10A3"/>
    <w:rPr>
      <w:i/>
    </w:rPr>
  </w:style>
  <w:style w:type="character" w:customStyle="1" w:styleId="HeaderChar">
    <w:name w:val="Header Char"/>
    <w:basedOn w:val="a0"/>
    <w:link w:val="Header"/>
    <w:uiPriority w:val="99"/>
    <w:rsid w:val="002E10A3"/>
  </w:style>
  <w:style w:type="character" w:customStyle="1" w:styleId="FooterChar">
    <w:name w:val="Footer Char"/>
    <w:basedOn w:val="a0"/>
    <w:link w:val="Footer"/>
    <w:uiPriority w:val="99"/>
    <w:rsid w:val="002E10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E10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E10A3"/>
  </w:style>
  <w:style w:type="table" w:customStyle="1" w:styleId="TableGridLight">
    <w:name w:val="Table Grid Light"/>
    <w:basedOn w:val="a1"/>
    <w:uiPriority w:val="59"/>
    <w:rsid w:val="002E10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10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E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10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10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2E10A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2E10A3"/>
    <w:rPr>
      <w:sz w:val="18"/>
    </w:rPr>
  </w:style>
  <w:style w:type="character" w:styleId="ad">
    <w:name w:val="footnote reference"/>
    <w:basedOn w:val="a0"/>
    <w:uiPriority w:val="99"/>
    <w:unhideWhenUsed/>
    <w:rsid w:val="002E10A3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2E10A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2E10A3"/>
    <w:rPr>
      <w:sz w:val="20"/>
    </w:rPr>
  </w:style>
  <w:style w:type="character" w:styleId="af">
    <w:name w:val="endnote reference"/>
    <w:basedOn w:val="a0"/>
    <w:uiPriority w:val="99"/>
    <w:semiHidden/>
    <w:unhideWhenUsed/>
    <w:rsid w:val="002E10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E10A3"/>
    <w:pPr>
      <w:spacing w:after="57"/>
    </w:pPr>
  </w:style>
  <w:style w:type="paragraph" w:styleId="21">
    <w:name w:val="toc 2"/>
    <w:basedOn w:val="a"/>
    <w:next w:val="a"/>
    <w:uiPriority w:val="39"/>
    <w:unhideWhenUsed/>
    <w:rsid w:val="002E10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10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10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10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10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10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10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10A3"/>
    <w:pPr>
      <w:spacing w:after="57"/>
      <w:ind w:left="2268"/>
    </w:pPr>
  </w:style>
  <w:style w:type="paragraph" w:styleId="af0">
    <w:name w:val="TOC Heading"/>
    <w:uiPriority w:val="39"/>
    <w:unhideWhenUsed/>
    <w:rsid w:val="002E10A3"/>
  </w:style>
  <w:style w:type="paragraph" w:styleId="af1">
    <w:name w:val="table of figures"/>
    <w:basedOn w:val="a"/>
    <w:next w:val="a"/>
    <w:uiPriority w:val="99"/>
    <w:unhideWhenUsed/>
    <w:rsid w:val="002E10A3"/>
    <w:pPr>
      <w:spacing w:after="0"/>
    </w:pPr>
  </w:style>
  <w:style w:type="table" w:styleId="af2">
    <w:name w:val="Table Grid"/>
    <w:basedOn w:val="a1"/>
    <w:uiPriority w:val="59"/>
    <w:rsid w:val="002E10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E10A3"/>
    <w:rPr>
      <w:color w:val="0000FF" w:themeColor="hyperlink"/>
      <w:u w:val="single"/>
    </w:rPr>
  </w:style>
  <w:style w:type="paragraph" w:styleId="af4">
    <w:name w:val="No Spacing"/>
    <w:uiPriority w:val="99"/>
    <w:qFormat/>
    <w:rsid w:val="002E10A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er">
    <w:name w:val="Header"/>
    <w:basedOn w:val="a"/>
    <w:link w:val="af5"/>
    <w:uiPriority w:val="99"/>
    <w:unhideWhenUsed/>
    <w:rsid w:val="002E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E10A3"/>
  </w:style>
  <w:style w:type="paragraph" w:customStyle="1" w:styleId="Footer">
    <w:name w:val="Footer"/>
    <w:basedOn w:val="a"/>
    <w:link w:val="af6"/>
    <w:uiPriority w:val="99"/>
    <w:unhideWhenUsed/>
    <w:rsid w:val="002E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E10A3"/>
  </w:style>
  <w:style w:type="paragraph" w:styleId="af7">
    <w:name w:val="Balloon Text"/>
    <w:basedOn w:val="a"/>
    <w:link w:val="af8"/>
    <w:uiPriority w:val="99"/>
    <w:semiHidden/>
    <w:unhideWhenUsed/>
    <w:rsid w:val="002E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2025-01-29T13:24:00Z</dcterms:created>
  <dcterms:modified xsi:type="dcterms:W3CDTF">2025-01-29T13:38:00Z</dcterms:modified>
</cp:coreProperties>
</file>